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CE1" w:rsidRDefault="003C6CE1">
      <w:pPr>
        <w:autoSpaceDE w:val="0"/>
        <w:jc w:val="center"/>
      </w:pPr>
      <w:r>
        <w:rPr>
          <w:lang w:val="ru-RU"/>
        </w:rPr>
        <w:t xml:space="preserve">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15pt;margin-top:.35pt;width:117.35pt;height:35.7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3C6CE1" w:rsidRDefault="003C6CE1"/>
              </w:txbxContent>
            </v:textbox>
          </v:shape>
        </w:pict>
      </w:r>
      <w:r w:rsidR="009B1CD2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E1" w:rsidRDefault="003C6CE1">
      <w:pPr>
        <w:autoSpaceDE w:val="0"/>
        <w:jc w:val="center"/>
      </w:pPr>
    </w:p>
    <w:p w:rsidR="003C6CE1" w:rsidRDefault="003C6C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3C6CE1" w:rsidRDefault="003C6C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C6CE1" w:rsidRDefault="003C6CE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3C6CE1" w:rsidRDefault="003C6C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6CE1" w:rsidRDefault="003C6CE1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ayout w:type="fixed"/>
        <w:tblLook w:val="0000"/>
      </w:tblPr>
      <w:tblGrid>
        <w:gridCol w:w="4649"/>
        <w:gridCol w:w="4921"/>
      </w:tblGrid>
      <w:tr w:rsidR="003C6CE1">
        <w:tc>
          <w:tcPr>
            <w:tcW w:w="4649" w:type="dxa"/>
          </w:tcPr>
          <w:p w:rsidR="003C6CE1" w:rsidRDefault="003C6CE1">
            <w:pPr>
              <w:snapToGrid w:val="0"/>
            </w:pPr>
            <w:r>
              <w:t>08.11.2012</w:t>
            </w:r>
          </w:p>
        </w:tc>
        <w:tc>
          <w:tcPr>
            <w:tcW w:w="4921" w:type="dxa"/>
          </w:tcPr>
          <w:p w:rsidR="003C6CE1" w:rsidRDefault="003C6CE1">
            <w:pPr>
              <w:snapToGrid w:val="0"/>
              <w:jc w:val="right"/>
            </w:pPr>
            <w:r>
              <w:t>№ 654</w:t>
            </w:r>
          </w:p>
        </w:tc>
      </w:tr>
    </w:tbl>
    <w:p w:rsidR="003C6CE1" w:rsidRDefault="003C6CE1">
      <w:pPr>
        <w:jc w:val="center"/>
      </w:pPr>
      <w:r>
        <w:t>пгт Тужа</w:t>
      </w:r>
    </w:p>
    <w:p w:rsidR="003C6CE1" w:rsidRDefault="003C6CE1">
      <w:pPr>
        <w:rPr>
          <w:sz w:val="48"/>
          <w:szCs w:val="48"/>
        </w:rPr>
      </w:pPr>
    </w:p>
    <w:p w:rsidR="003C6CE1" w:rsidRDefault="003C6CE1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отмене постановления администрации </w:t>
      </w:r>
    </w:p>
    <w:p w:rsidR="003C6CE1" w:rsidRDefault="003C6CE1">
      <w:pPr>
        <w:pStyle w:val="ConsPlusNormal"/>
        <w:widowControl/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 от 03.03.2011 № 79.</w:t>
      </w:r>
    </w:p>
    <w:p w:rsidR="003C6CE1" w:rsidRDefault="003C6CE1">
      <w:pPr>
        <w:pStyle w:val="ConsPlusNormal"/>
        <w:widowControl/>
        <w:tabs>
          <w:tab w:val="left" w:pos="993"/>
        </w:tabs>
        <w:ind w:firstLine="0"/>
        <w:jc w:val="center"/>
      </w:pPr>
    </w:p>
    <w:p w:rsidR="003C6CE1" w:rsidRDefault="003C6CE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 целях приведения нормативных актов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8"/>
        </w:rPr>
        <w:t>, администрация района ПОСТАНОВЛЯЕТ:</w:t>
      </w:r>
    </w:p>
    <w:p w:rsidR="003C6CE1" w:rsidRDefault="003C6CE1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1.Признать утратившим силу постановление администрации Тужинского муниципального района от 03.03.2011 № 79 «Об утверждении реестра муниципальных услуг, предоставляемых органами  местного самоуправления, муниципальными учреждениями и предприятиями Тужинского района».</w:t>
      </w:r>
    </w:p>
    <w:p w:rsidR="003C6CE1" w:rsidRDefault="003C6CE1">
      <w:pPr>
        <w:tabs>
          <w:tab w:val="left" w:pos="795"/>
        </w:tabs>
        <w:ind w:left="30" w:firstLine="537"/>
        <w:jc w:val="both"/>
        <w:rPr>
          <w:szCs w:val="48"/>
        </w:rPr>
      </w:pPr>
      <w:r>
        <w:rPr>
          <w:szCs w:val="48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Тужинский муниципальный район Кировской области.</w:t>
      </w:r>
    </w:p>
    <w:p w:rsidR="003C6CE1" w:rsidRDefault="003C6CE1">
      <w:pPr>
        <w:tabs>
          <w:tab w:val="left" w:pos="993"/>
        </w:tabs>
        <w:ind w:firstLine="567"/>
        <w:jc w:val="both"/>
        <w:rPr>
          <w:szCs w:val="28"/>
        </w:rPr>
      </w:pPr>
    </w:p>
    <w:p w:rsidR="003C6CE1" w:rsidRDefault="003C6CE1">
      <w:pPr>
        <w:tabs>
          <w:tab w:val="left" w:pos="993"/>
        </w:tabs>
        <w:ind w:firstLine="567"/>
        <w:jc w:val="both"/>
        <w:rPr>
          <w:szCs w:val="28"/>
        </w:rPr>
      </w:pPr>
    </w:p>
    <w:p w:rsidR="003C6CE1" w:rsidRDefault="003C6CE1">
      <w:pPr>
        <w:tabs>
          <w:tab w:val="left" w:pos="993"/>
        </w:tabs>
        <w:ind w:firstLine="567"/>
        <w:jc w:val="both"/>
        <w:rPr>
          <w:szCs w:val="28"/>
        </w:rPr>
      </w:pPr>
    </w:p>
    <w:p w:rsidR="003C6CE1" w:rsidRDefault="003C6CE1">
      <w:r>
        <w:t xml:space="preserve">И.о. главы администрации района             </w:t>
      </w:r>
      <w:r w:rsidR="002D5B1E">
        <w:t xml:space="preserve">            </w:t>
      </w:r>
      <w:r>
        <w:t xml:space="preserve">          Н.А. Бушманов</w:t>
      </w:r>
    </w:p>
    <w:p w:rsidR="003C6CE1" w:rsidRDefault="003C6CE1"/>
    <w:p w:rsidR="003C6CE1" w:rsidRDefault="003C6CE1"/>
    <w:p w:rsidR="003C6CE1" w:rsidRDefault="003C6CE1">
      <w:pPr>
        <w:ind w:right="-44"/>
        <w:jc w:val="both"/>
      </w:pPr>
    </w:p>
    <w:p w:rsidR="003C6CE1" w:rsidRDefault="003C6CE1">
      <w:pPr>
        <w:ind w:right="-44"/>
        <w:jc w:val="both"/>
      </w:pPr>
      <w:r>
        <w:t xml:space="preserve">                              </w:t>
      </w: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  <w:rPr>
          <w:rFonts w:ascii="Times New Roman" w:hAnsi="Times New Roman"/>
          <w:sz w:val="20"/>
          <w:szCs w:val="20"/>
        </w:rPr>
      </w:pPr>
    </w:p>
    <w:p w:rsidR="003C6CE1" w:rsidRDefault="003C6CE1">
      <w:pPr>
        <w:pStyle w:val="FR1"/>
        <w:spacing w:before="0" w:line="100" w:lineRule="atLeast"/>
        <w:ind w:right="0"/>
      </w:pPr>
    </w:p>
    <w:sectPr w:rsidR="003C6CE1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3C6CE1"/>
    <w:rsid w:val="002D5B1E"/>
    <w:rsid w:val="003C6CE1"/>
    <w:rsid w:val="009B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b w:val="0"/>
      <w:sz w:val="24"/>
      <w:szCs w:val="24"/>
    </w:rPr>
  </w:style>
  <w:style w:type="character" w:customStyle="1" w:styleId="WW8Num3z1">
    <w:name w:val="WW8Num3z1"/>
    <w:rPr>
      <w:b w:val="0"/>
      <w:bCs w:val="0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FF"/>
      <w:u w:val="single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-">
    <w:name w:val="Ж-курсив"/>
  </w:style>
  <w:style w:type="character" w:customStyle="1" w:styleId="20">
    <w:name w:val="Основной текст с отступом 2 Знак"/>
    <w:basedOn w:val="10"/>
    <w:rPr>
      <w:sz w:val="28"/>
      <w:szCs w:val="24"/>
    </w:rPr>
  </w:style>
  <w:style w:type="character" w:customStyle="1" w:styleId="a6">
    <w:name w:val="Символ нумерации"/>
    <w:rPr>
      <w:b w:val="0"/>
      <w:bCs w:val="0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 Spacing"/>
    <w:qFormat/>
    <w:pPr>
      <w:suppressAutoHyphens/>
    </w:pPr>
    <w:rPr>
      <w:rFonts w:eastAsia="Arial"/>
      <w:sz w:val="24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pPr>
      <w:widowControl w:val="0"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  <w:style w:type="paragraph" w:customStyle="1" w:styleId="NoSpacing">
    <w:name w:val="No Spacing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210">
    <w:name w:val="Основной текст с отступом 21"/>
    <w:basedOn w:val="a"/>
    <w:pPr>
      <w:ind w:firstLine="709"/>
      <w:jc w:val="center"/>
    </w:pPr>
    <w:rPr>
      <w:sz w:val="28"/>
    </w:rPr>
  </w:style>
  <w:style w:type="paragraph" w:customStyle="1" w:styleId="Standard">
    <w:name w:val="Standard"/>
    <w:next w:val="a"/>
    <w:pPr>
      <w:suppressAutoHyphens/>
    </w:pPr>
    <w:rPr>
      <w:rFonts w:ascii="Arial" w:eastAsia="Tahoma" w:hAnsi="Arial"/>
      <w:lang w:eastAsia="ar-SA"/>
    </w:rPr>
  </w:style>
  <w:style w:type="paragraph" w:customStyle="1" w:styleId="aa">
    <w:name w:val="Содержимое врезки"/>
    <w:basedOn w:val="a1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FR1">
    <w:name w:val="FR1"/>
    <w:pPr>
      <w:suppressAutoHyphens/>
      <w:spacing w:before="240" w:line="300" w:lineRule="auto"/>
      <w:ind w:right="400"/>
      <w:jc w:val="both"/>
    </w:pPr>
    <w:rPr>
      <w:rFonts w:ascii="Arial" w:eastAsia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экономика</dc:creator>
  <cp:keywords/>
  <cp:lastModifiedBy>Админ</cp:lastModifiedBy>
  <cp:revision>2</cp:revision>
  <cp:lastPrinted>2012-11-19T07:00:00Z</cp:lastPrinted>
  <dcterms:created xsi:type="dcterms:W3CDTF">2016-03-03T08:41:00Z</dcterms:created>
  <dcterms:modified xsi:type="dcterms:W3CDTF">2016-03-03T08:41:00Z</dcterms:modified>
</cp:coreProperties>
</file>